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529B3" w14:textId="200D9C96" w:rsidR="00D517EC" w:rsidRPr="007745A7" w:rsidRDefault="00D517EC" w:rsidP="00D517EC">
      <w:r w:rsidRPr="007745A7">
        <w:t>Terms of Use</w:t>
      </w:r>
    </w:p>
    <w:p w14:paraId="7C2AD928" w14:textId="15F75CFB" w:rsidR="00D517EC" w:rsidRPr="007745A7" w:rsidRDefault="00D517EC" w:rsidP="00D517EC">
      <w:r w:rsidRPr="007745A7">
        <w:t xml:space="preserve">Revision: </w:t>
      </w:r>
      <w:r w:rsidR="00A6738F" w:rsidRPr="007745A7">
        <w:t>10</w:t>
      </w:r>
    </w:p>
    <w:p w14:paraId="12D9D28A" w14:textId="2D2F82EA" w:rsidR="00D517EC" w:rsidRPr="007745A7" w:rsidRDefault="00D517EC" w:rsidP="00D517EC">
      <w:r w:rsidRPr="007745A7">
        <w:t xml:space="preserve">Date: </w:t>
      </w:r>
      <w:r w:rsidR="00CC0F9A">
        <w:t>17</w:t>
      </w:r>
      <w:r w:rsidR="00D13B15">
        <w:t xml:space="preserve"> Nov</w:t>
      </w:r>
      <w:r w:rsidR="0084426E" w:rsidRPr="007745A7">
        <w:t xml:space="preserve"> 2021</w:t>
      </w:r>
    </w:p>
    <w:p w14:paraId="496EA71D" w14:textId="77777777" w:rsidR="00D517EC" w:rsidRPr="007745A7" w:rsidRDefault="00D517EC" w:rsidP="00D517EC">
      <w:r w:rsidRPr="007745A7">
        <w:t>Welcome</w:t>
      </w:r>
    </w:p>
    <w:p w14:paraId="350DD91B" w14:textId="525E8503" w:rsidR="00D517EC" w:rsidRPr="007745A7" w:rsidRDefault="00D517EC" w:rsidP="00D517EC">
      <w:r w:rsidRPr="007745A7">
        <w:t>Welcome to the COVID-19 Workbench (the</w:t>
      </w:r>
      <w:r w:rsidRPr="007745A7">
        <w:rPr>
          <w:b/>
          <w:bCs/>
        </w:rPr>
        <w:t xml:space="preserve"> COVID-19 Workbench</w:t>
      </w:r>
      <w:r w:rsidRPr="007745A7">
        <w:t xml:space="preserve">), a service hosted and operated by Aridhia on behalf of </w:t>
      </w:r>
      <w:r w:rsidR="00A6738F" w:rsidRPr="007745A7">
        <w:t>Health Data Research UK</w:t>
      </w:r>
      <w:r w:rsidRPr="007745A7">
        <w:t xml:space="preserve"> (</w:t>
      </w:r>
      <w:r w:rsidR="00A6738F" w:rsidRPr="007745A7">
        <w:rPr>
          <w:b/>
          <w:bCs/>
        </w:rPr>
        <w:t xml:space="preserve">HDR UK </w:t>
      </w:r>
      <w:r w:rsidRPr="007745A7">
        <w:t>)</w:t>
      </w:r>
      <w:r w:rsidR="00B459F4" w:rsidRPr="007745A7">
        <w:t>, the convenor</w:t>
      </w:r>
      <w:r w:rsidR="00026189" w:rsidRPr="007745A7">
        <w:t xml:space="preserve"> of the </w:t>
      </w:r>
      <w:hyperlink r:id="rId11" w:history="1">
        <w:r w:rsidR="00026189" w:rsidRPr="007745A7">
          <w:rPr>
            <w:rStyle w:val="Hyperlink"/>
          </w:rPr>
          <w:t>International COVID-19 Data Research Alliance</w:t>
        </w:r>
      </w:hyperlink>
      <w:r w:rsidR="00026189" w:rsidRPr="007745A7">
        <w:t> (</w:t>
      </w:r>
      <w:r w:rsidR="00026189" w:rsidRPr="007745A7">
        <w:rPr>
          <w:b/>
          <w:bCs/>
        </w:rPr>
        <w:t>ICODA</w:t>
      </w:r>
      <w:r w:rsidR="00026189" w:rsidRPr="007745A7">
        <w:t>)</w:t>
      </w:r>
      <w:r w:rsidRPr="007745A7">
        <w:t xml:space="preserve"> </w:t>
      </w:r>
      <w:r w:rsidR="00B459F4" w:rsidRPr="007745A7">
        <w:t xml:space="preserve">and funded </w:t>
      </w:r>
      <w:bookmarkStart w:id="0" w:name="_Hlk86828595"/>
      <w:r w:rsidR="00B459F4" w:rsidRPr="007745A7">
        <w:t>by the Bill &amp; Melinda Gates Foundation</w:t>
      </w:r>
      <w:bookmarkEnd w:id="0"/>
      <w:r w:rsidR="00B459F4" w:rsidRPr="007745A7">
        <w:t xml:space="preserve"> UK  </w:t>
      </w:r>
      <w:r w:rsidRPr="007745A7">
        <w:t>a Washington charitable trust and a member</w:t>
      </w:r>
      <w:r w:rsidR="00732B87" w:rsidRPr="007745A7">
        <w:t xml:space="preserve"> </w:t>
      </w:r>
      <w:r w:rsidR="00026189" w:rsidRPr="007745A7">
        <w:t xml:space="preserve">of ICODA. </w:t>
      </w:r>
      <w:r w:rsidR="00721BE6" w:rsidRPr="007745A7">
        <w:t xml:space="preserve">ICODA seeks to build a research partnership to support a rapid response to the COVID-19 pandemic, </w:t>
      </w:r>
      <w:r w:rsidR="00721BE6" w:rsidRPr="00CC0F9A">
        <w:t xml:space="preserve">and </w:t>
      </w:r>
      <w:r w:rsidR="00721BE6" w:rsidRPr="007745A7">
        <w:t>a long-term alliance for making data accessible to health researchers and scientists globally.</w:t>
      </w:r>
      <w:r w:rsidR="002E4ABB" w:rsidRPr="007745A7">
        <w:rPr>
          <w:color w:val="000000"/>
        </w:rPr>
        <w:t xml:space="preserve"> </w:t>
      </w:r>
      <w:r w:rsidRPr="007745A7">
        <w:t xml:space="preserve">(the </w:t>
      </w:r>
      <w:r w:rsidRPr="007745A7">
        <w:rPr>
          <w:b/>
          <w:bCs/>
        </w:rPr>
        <w:t>Purpose</w:t>
      </w:r>
      <w:r w:rsidRPr="007745A7">
        <w:t>).</w:t>
      </w:r>
    </w:p>
    <w:p w14:paraId="6F4EA4EA" w14:textId="77777777" w:rsidR="00D517EC" w:rsidRPr="007745A7" w:rsidRDefault="00D517EC" w:rsidP="00D517EC">
      <w:r w:rsidRPr="007745A7">
        <w:t>Workbench Data</w:t>
      </w:r>
    </w:p>
    <w:p w14:paraId="3719A97B" w14:textId="0F21A44D" w:rsidR="00D517EC" w:rsidRPr="007745A7" w:rsidRDefault="00D517EC" w:rsidP="00D517EC">
      <w:r w:rsidRPr="007745A7">
        <w:t xml:space="preserve">Unless otherwise specifically stated, the COVID-19 Workbench contains </w:t>
      </w:r>
      <w:r w:rsidR="00721BE6" w:rsidRPr="007745A7">
        <w:t>D</w:t>
      </w:r>
      <w:r w:rsidR="00B129E4" w:rsidRPr="007745A7">
        <w:t>e-</w:t>
      </w:r>
      <w:proofErr w:type="spellStart"/>
      <w:r w:rsidR="007745A7" w:rsidRPr="007745A7">
        <w:t>personalised</w:t>
      </w:r>
      <w:proofErr w:type="spellEnd"/>
      <w:r w:rsidR="007745A7" w:rsidRPr="007745A7">
        <w:t xml:space="preserve"> </w:t>
      </w:r>
      <w:r w:rsidR="00721BE6" w:rsidRPr="007745A7">
        <w:t>D</w:t>
      </w:r>
      <w:r w:rsidRPr="007745A7">
        <w:t xml:space="preserve">ata (the </w:t>
      </w:r>
      <w:r w:rsidRPr="007745A7">
        <w:rPr>
          <w:b/>
          <w:bCs/>
        </w:rPr>
        <w:t>Workbench Data</w:t>
      </w:r>
      <w:r w:rsidRPr="007745A7">
        <w:t>), which ha</w:t>
      </w:r>
      <w:r w:rsidR="001C32ED" w:rsidRPr="007745A7">
        <w:t>s</w:t>
      </w:r>
      <w:r w:rsidRPr="007745A7">
        <w:t xml:space="preserve"> been provided by third parties (the </w:t>
      </w:r>
      <w:r w:rsidRPr="007745A7">
        <w:rPr>
          <w:b/>
          <w:bCs/>
        </w:rPr>
        <w:t>Data Contributors</w:t>
      </w:r>
      <w:r w:rsidRPr="007745A7">
        <w:t>) for the Purpose.</w:t>
      </w:r>
      <w:r w:rsidR="00721BE6" w:rsidRPr="007745A7">
        <w:t xml:space="preserve"> </w:t>
      </w:r>
      <w:r w:rsidR="00721BE6" w:rsidRPr="007745A7">
        <w:rPr>
          <w:b/>
          <w:bCs/>
        </w:rPr>
        <w:t>De-</w:t>
      </w:r>
      <w:proofErr w:type="spellStart"/>
      <w:r w:rsidR="007745A7" w:rsidRPr="007745A7">
        <w:rPr>
          <w:b/>
          <w:bCs/>
        </w:rPr>
        <w:t>personalised</w:t>
      </w:r>
      <w:proofErr w:type="spellEnd"/>
      <w:r w:rsidR="007745A7" w:rsidRPr="007745A7">
        <w:rPr>
          <w:b/>
          <w:bCs/>
        </w:rPr>
        <w:t xml:space="preserve"> D</w:t>
      </w:r>
      <w:r w:rsidR="00721BE6" w:rsidRPr="007745A7">
        <w:rPr>
          <w:b/>
          <w:bCs/>
        </w:rPr>
        <w:t>ata</w:t>
      </w:r>
      <w:r w:rsidR="00721BE6" w:rsidRPr="007745A7">
        <w:t xml:space="preserve"> means personal data that has been processed in such a manner that data can no longer be attributed to a specific individual without the use of additional information, provided that such additional information is kept separately and is subject to technical and </w:t>
      </w:r>
      <w:r w:rsidR="005C7E61" w:rsidRPr="007745A7">
        <w:t>organizational</w:t>
      </w:r>
      <w:r w:rsidR="00721BE6" w:rsidRPr="007745A7">
        <w:t xml:space="preserve"> measures to prevent reattribution.  </w:t>
      </w:r>
    </w:p>
    <w:p w14:paraId="6E87B2EA" w14:textId="5DD59281" w:rsidR="00D517EC" w:rsidRPr="007745A7" w:rsidRDefault="00D517EC" w:rsidP="00CC0F9A">
      <w:r w:rsidRPr="007745A7">
        <w:t>Authorized users</w:t>
      </w:r>
      <w:r w:rsidR="00026189" w:rsidRPr="007745A7">
        <w:t xml:space="preserve"> (also referred to as Approved users)</w:t>
      </w:r>
      <w:r w:rsidR="005C7E61" w:rsidRPr="007745A7">
        <w:tab/>
      </w:r>
    </w:p>
    <w:p w14:paraId="50B8407C" w14:textId="200633EC" w:rsidR="00950BE9" w:rsidRPr="007745A7" w:rsidRDefault="00D517EC" w:rsidP="00D517EC">
      <w:r w:rsidRPr="007745A7">
        <w:t xml:space="preserve">You may only access the COVID-19 Workbench if you have been authorized to do so by </w:t>
      </w:r>
      <w:r w:rsidR="004C1C22" w:rsidRPr="007745A7">
        <w:t>HDR UK</w:t>
      </w:r>
      <w:r w:rsidRPr="007745A7">
        <w:t xml:space="preserve">. To become an authorized </w:t>
      </w:r>
      <w:proofErr w:type="gramStart"/>
      <w:r w:rsidRPr="007745A7">
        <w:t>user</w:t>
      </w:r>
      <w:proofErr w:type="gramEnd"/>
      <w:r w:rsidRPr="007745A7">
        <w:t xml:space="preserve"> you must </w:t>
      </w:r>
      <w:r w:rsidR="00CC0F9A">
        <w:t>(a</w:t>
      </w:r>
      <w:r w:rsidR="004017C0" w:rsidRPr="007745A7">
        <w:t xml:space="preserve">) your Institution must sign a Data Access Agreement with HDR UK </w:t>
      </w:r>
      <w:r w:rsidRPr="007745A7">
        <w:t>(</w:t>
      </w:r>
      <w:r w:rsidR="00CC0F9A">
        <w:t>b</w:t>
      </w:r>
      <w:r w:rsidRPr="007745A7">
        <w:t xml:space="preserve">) be approved by </w:t>
      </w:r>
      <w:r w:rsidR="004C1C22" w:rsidRPr="007745A7">
        <w:t xml:space="preserve">HDR UK </w:t>
      </w:r>
      <w:r w:rsidRPr="007745A7">
        <w:t>to access the COVID-19 Workbench for the Purpose, (</w:t>
      </w:r>
      <w:r w:rsidR="00CC0F9A">
        <w:t>b</w:t>
      </w:r>
      <w:r w:rsidRPr="007745A7">
        <w:t xml:space="preserve">) register to access the COVID-19 Workbench, </w:t>
      </w:r>
      <w:r w:rsidRPr="00D517EC">
        <w:t>and</w:t>
      </w:r>
      <w:r w:rsidRPr="007745A7">
        <w:t xml:space="preserve"> (</w:t>
      </w:r>
      <w:r w:rsidR="00CC0F9A">
        <w:t>d</w:t>
      </w:r>
      <w:r w:rsidRPr="007745A7">
        <w:t xml:space="preserve">) accept </w:t>
      </w:r>
      <w:r w:rsidR="001C32ED" w:rsidRPr="007745A7">
        <w:t>and comply</w:t>
      </w:r>
      <w:r w:rsidR="00430431" w:rsidRPr="007745A7">
        <w:t xml:space="preserve"> at all times</w:t>
      </w:r>
      <w:r w:rsidR="001C32ED" w:rsidRPr="007745A7">
        <w:t xml:space="preserve"> with </w:t>
      </w:r>
      <w:r w:rsidRPr="007745A7">
        <w:t>these Terms of Use</w:t>
      </w:r>
      <w:r w:rsidR="004C1C22" w:rsidRPr="007745A7">
        <w:t>, and (</w:t>
      </w:r>
      <w:r w:rsidRPr="007745A7">
        <w:t xml:space="preserve">. If you are not such an authorized user you are not entitled to access the COVID-19 Workbench. Please contact </w:t>
      </w:r>
      <w:r w:rsidR="0069643A" w:rsidRPr="007745A7">
        <w:t>ICODA</w:t>
      </w:r>
      <w:r w:rsidRPr="007745A7">
        <w:t xml:space="preserve"> to find out more about becoming an authorized user: </w:t>
      </w:r>
      <w:hyperlink r:id="rId12" w:history="1">
        <w:r w:rsidRPr="007745A7">
          <w:rPr>
            <w:rStyle w:val="Hyperlink"/>
          </w:rPr>
          <w:t>international.alliance@hdruk.ac.uk</w:t>
        </w:r>
      </w:hyperlink>
      <w:r w:rsidR="0084426E" w:rsidRPr="007745A7">
        <w:t>.</w:t>
      </w:r>
    </w:p>
    <w:p w14:paraId="623F815C" w14:textId="77777777" w:rsidR="00D517EC" w:rsidRPr="007745A7" w:rsidRDefault="00D517EC" w:rsidP="00D517EC">
      <w:r w:rsidRPr="007745A7">
        <w:t>General terms</w:t>
      </w:r>
    </w:p>
    <w:p w14:paraId="39529D8F" w14:textId="77777777" w:rsidR="00D517EC" w:rsidRPr="007745A7" w:rsidRDefault="00D517EC" w:rsidP="00D517EC">
      <w:r w:rsidRPr="007745A7">
        <w:t>By accessing the COVID-19 Workbench you agree to:</w:t>
      </w:r>
    </w:p>
    <w:p w14:paraId="31734972" w14:textId="2902A64C" w:rsidR="00D517EC" w:rsidRPr="007745A7" w:rsidRDefault="00D517EC" w:rsidP="00D517EC">
      <w:r w:rsidRPr="007745A7">
        <w:t>1. Not copy, download</w:t>
      </w:r>
      <w:r w:rsidR="001C32ED" w:rsidRPr="007745A7">
        <w:t>,</w:t>
      </w:r>
      <w:r w:rsidRPr="007745A7">
        <w:t xml:space="preserve"> transfer </w:t>
      </w:r>
      <w:r w:rsidR="001C32ED" w:rsidRPr="007745A7">
        <w:t xml:space="preserve">or </w:t>
      </w:r>
      <w:r w:rsidR="007C5465" w:rsidRPr="007745A7">
        <w:t xml:space="preserve">otherwise </w:t>
      </w:r>
      <w:r w:rsidR="001C32ED" w:rsidRPr="007745A7">
        <w:t>remove from the C</w:t>
      </w:r>
      <w:r w:rsidR="00E61573" w:rsidRPr="007745A7">
        <w:t>OVID</w:t>
      </w:r>
      <w:r w:rsidR="001C32ED" w:rsidRPr="007745A7">
        <w:t>-19 Workbench</w:t>
      </w:r>
      <w:r w:rsidR="007C5465" w:rsidRPr="007745A7">
        <w:t xml:space="preserve"> </w:t>
      </w:r>
      <w:r w:rsidR="00DB57E4" w:rsidRPr="007745A7">
        <w:t xml:space="preserve">to any external location </w:t>
      </w:r>
      <w:r w:rsidR="007C5465" w:rsidRPr="007745A7">
        <w:t>or share with any other person</w:t>
      </w:r>
      <w:r w:rsidR="001C32ED" w:rsidRPr="007745A7">
        <w:t xml:space="preserve"> </w:t>
      </w:r>
      <w:r w:rsidRPr="007745A7">
        <w:t xml:space="preserve">any Workbench Data (other than data uploaded by you) </w:t>
      </w:r>
      <w:r w:rsidR="00DB57E4" w:rsidRPr="007745A7">
        <w:t xml:space="preserve">unless you have received specific written approval from </w:t>
      </w:r>
      <w:r w:rsidR="004C1C22" w:rsidRPr="007745A7">
        <w:t xml:space="preserve">HDR UK </w:t>
      </w:r>
      <w:r w:rsidR="005E7C24" w:rsidRPr="007745A7">
        <w:t>and comply with paragraph 4 below</w:t>
      </w:r>
      <w:r w:rsidR="00DB57E4" w:rsidRPr="007745A7">
        <w:t xml:space="preserve">. </w:t>
      </w:r>
    </w:p>
    <w:p w14:paraId="7748DCB2" w14:textId="65B288F9" w:rsidR="00F44B36" w:rsidRPr="007745A7" w:rsidRDefault="00DB57E4" w:rsidP="00D517EC">
      <w:r w:rsidRPr="007745A7">
        <w:t>2. N</w:t>
      </w:r>
      <w:r w:rsidR="00F44B36" w:rsidRPr="007745A7">
        <w:t xml:space="preserve">ot upload any </w:t>
      </w:r>
      <w:r w:rsidR="00C617A1" w:rsidRPr="007745A7">
        <w:t xml:space="preserve">personal </w:t>
      </w:r>
      <w:r w:rsidR="00F44B36" w:rsidRPr="007745A7">
        <w:t>data</w:t>
      </w:r>
      <w:r w:rsidR="00C617A1" w:rsidRPr="007745A7">
        <w:t xml:space="preserve"> as defined by the General Data Protection Regulation (</w:t>
      </w:r>
      <w:r w:rsidR="00C617A1" w:rsidRPr="007745A7">
        <w:rPr>
          <w:b/>
          <w:bCs/>
        </w:rPr>
        <w:t>Personal Data</w:t>
      </w:r>
      <w:r w:rsidR="00C617A1" w:rsidRPr="007745A7">
        <w:t>)</w:t>
      </w:r>
      <w:r w:rsidR="00F44B36" w:rsidRPr="007745A7">
        <w:t xml:space="preserve"> to the Workbench</w:t>
      </w:r>
      <w:r w:rsidR="002A2D08" w:rsidRPr="007745A7">
        <w:t xml:space="preserve"> unless you have received specific written approval from HDR UK.  Such approval will only be granted </w:t>
      </w:r>
      <w:r w:rsidR="00721BE6" w:rsidRPr="007745A7">
        <w:t>for De-</w:t>
      </w:r>
      <w:r w:rsidR="007745A7" w:rsidRPr="007745A7">
        <w:t xml:space="preserve">personalised </w:t>
      </w:r>
      <w:proofErr w:type="gramStart"/>
      <w:r w:rsidR="00721BE6" w:rsidRPr="007745A7">
        <w:t>data</w:t>
      </w:r>
      <w:proofErr w:type="gramEnd"/>
      <w:r w:rsidR="00721BE6" w:rsidRPr="007745A7">
        <w:t xml:space="preserve"> </w:t>
      </w:r>
      <w:r w:rsidR="002A2D08" w:rsidRPr="007745A7">
        <w:t xml:space="preserve">and you will be required to sign a Data Contributor Agreement with HDR UK. </w:t>
      </w:r>
    </w:p>
    <w:p w14:paraId="2ED573BB" w14:textId="3642054D" w:rsidR="00D517EC" w:rsidRPr="007745A7" w:rsidRDefault="00DB57E4" w:rsidP="00D517EC">
      <w:r w:rsidRPr="007745A7">
        <w:t>3</w:t>
      </w:r>
      <w:r w:rsidR="00D517EC" w:rsidRPr="007745A7">
        <w:t>. Not attempt to identify individuals from the Workbench Data</w:t>
      </w:r>
      <w:r w:rsidRPr="007745A7">
        <w:t xml:space="preserve"> or to aggregate Workbench Data with other data that </w:t>
      </w:r>
      <w:r w:rsidR="00E464A1" w:rsidRPr="007745A7">
        <w:t xml:space="preserve">could </w:t>
      </w:r>
      <w:r w:rsidRPr="007745A7">
        <w:t>enable individual identification</w:t>
      </w:r>
      <w:r w:rsidR="00D517EC" w:rsidRPr="007745A7">
        <w:t>.</w:t>
      </w:r>
    </w:p>
    <w:p w14:paraId="11ED4FA9" w14:textId="1257A969" w:rsidR="004C1C22" w:rsidRPr="007745A7" w:rsidRDefault="00E464A1" w:rsidP="004C1C22">
      <w:r w:rsidRPr="007745A7">
        <w:t>4</w:t>
      </w:r>
      <w:r w:rsidR="00D517EC" w:rsidRPr="007745A7">
        <w:t>. Ensure that all statistical results and outputs</w:t>
      </w:r>
      <w:r w:rsidR="005E7C24" w:rsidRPr="007745A7">
        <w:t>: (a)</w:t>
      </w:r>
      <w:r w:rsidR="00D517EC" w:rsidRPr="007745A7">
        <w:t xml:space="preserve"> </w:t>
      </w:r>
      <w:r w:rsidR="005E7C24" w:rsidRPr="007745A7">
        <w:t xml:space="preserve">are </w:t>
      </w:r>
      <w:r w:rsidR="00D517EC" w:rsidRPr="007745A7">
        <w:t xml:space="preserve">fully </w:t>
      </w:r>
      <w:r w:rsidR="0009607D" w:rsidRPr="007745A7">
        <w:t>A</w:t>
      </w:r>
      <w:r w:rsidR="00D517EC" w:rsidRPr="007745A7">
        <w:t>nonymized</w:t>
      </w:r>
      <w:r w:rsidR="005E7C24" w:rsidRPr="007745A7">
        <w:t xml:space="preserve"> such that no individual can be identified; (b)</w:t>
      </w:r>
      <w:r w:rsidR="00D517EC" w:rsidRPr="007745A7">
        <w:t xml:space="preserve"> do not </w:t>
      </w:r>
      <w:r w:rsidR="005E7C24" w:rsidRPr="007745A7">
        <w:t xml:space="preserve">contain any Personal Data; (c) do </w:t>
      </w:r>
      <w:r w:rsidR="00F81E9E" w:rsidRPr="007745A7">
        <w:t xml:space="preserve">not </w:t>
      </w:r>
      <w:r w:rsidR="00D517EC" w:rsidRPr="007745A7">
        <w:t>breach any individual’s privacy</w:t>
      </w:r>
      <w:r w:rsidR="00C24F1E" w:rsidRPr="007745A7">
        <w:t xml:space="preserve">, any provision </w:t>
      </w:r>
      <w:r w:rsidR="00C24F1E" w:rsidRPr="007745A7">
        <w:lastRenderedPageBreak/>
        <w:t>of UK GDPR or other applicable laws</w:t>
      </w:r>
      <w:r w:rsidR="005E7C24" w:rsidRPr="007745A7">
        <w:t xml:space="preserve"> in any applicable jurisdiction;  (d)</w:t>
      </w:r>
      <w:r w:rsidR="00D517EC" w:rsidRPr="007745A7">
        <w:t xml:space="preserve"> comply with any applicable data </w:t>
      </w:r>
      <w:r w:rsidR="002A2D08" w:rsidRPr="007745A7">
        <w:t>access</w:t>
      </w:r>
      <w:r w:rsidR="006A1BE4" w:rsidRPr="007745A7">
        <w:t xml:space="preserve"> </w:t>
      </w:r>
      <w:r w:rsidR="00D517EC" w:rsidRPr="007745A7">
        <w:t xml:space="preserve">agreements you may have </w:t>
      </w:r>
      <w:r w:rsidR="005E7C24" w:rsidRPr="007745A7">
        <w:t xml:space="preserve">entered into </w:t>
      </w:r>
      <w:r w:rsidR="00D517EC" w:rsidRPr="007745A7">
        <w:t>relating to the COVID-19 Workbench</w:t>
      </w:r>
      <w:r w:rsidR="004C1C22" w:rsidRPr="007745A7">
        <w:t xml:space="preserve">; and (e) comply with the </w:t>
      </w:r>
      <w:hyperlink r:id="rId13" w:history="1">
        <w:r w:rsidR="004C1C22" w:rsidRPr="007745A7">
          <w:rPr>
            <w:rStyle w:val="Hyperlink"/>
          </w:rPr>
          <w:t>Output Review Process</w:t>
        </w:r>
      </w:hyperlink>
      <w:r w:rsidR="004C1C22" w:rsidRPr="007745A7">
        <w:t xml:space="preserve">. </w:t>
      </w:r>
    </w:p>
    <w:p w14:paraId="2FD2EBAD" w14:textId="480AE28F" w:rsidR="00D517EC" w:rsidRPr="007745A7" w:rsidRDefault="00E464A1" w:rsidP="00D517EC">
      <w:r w:rsidRPr="007745A7">
        <w:t>5</w:t>
      </w:r>
      <w:r w:rsidR="00D517EC" w:rsidRPr="007745A7">
        <w:t xml:space="preserve">. Communicate </w:t>
      </w:r>
      <w:r w:rsidR="00F460EE" w:rsidRPr="007745A7">
        <w:t xml:space="preserve">any </w:t>
      </w:r>
      <w:r w:rsidR="00D517EC" w:rsidRPr="007745A7">
        <w:t xml:space="preserve">results of research in an open access publication, including such attribution, acknowledgement or accreditation to the researcher, project, </w:t>
      </w:r>
      <w:r w:rsidR="00495FF3" w:rsidRPr="007745A7">
        <w:t>ICODA</w:t>
      </w:r>
      <w:r w:rsidR="00D517EC" w:rsidRPr="007745A7">
        <w:t xml:space="preserve">, COVID-19 Workbench, and Data Contributors and participants as </w:t>
      </w:r>
      <w:r w:rsidR="004C1C22" w:rsidRPr="007745A7">
        <w:t xml:space="preserve">HDR UK </w:t>
      </w:r>
      <w:r w:rsidR="00D517EC" w:rsidRPr="007745A7">
        <w:t>may determine</w:t>
      </w:r>
      <w:r w:rsidR="000C036F" w:rsidRPr="007745A7">
        <w:t xml:space="preserve">, and in accordance with the </w:t>
      </w:r>
      <w:hyperlink r:id="rId14" w:history="1">
        <w:r w:rsidR="000C036F" w:rsidRPr="007745A7">
          <w:rPr>
            <w:rStyle w:val="Hyperlink"/>
          </w:rPr>
          <w:t>ICODA Publication</w:t>
        </w:r>
      </w:hyperlink>
      <w:r w:rsidR="000C036F" w:rsidRPr="007745A7">
        <w:t xml:space="preserve"> and </w:t>
      </w:r>
      <w:r w:rsidR="00D10DE4" w:rsidRPr="007745A7">
        <w:t xml:space="preserve">, </w:t>
      </w:r>
      <w:hyperlink r:id="rId15" w:history="1">
        <w:r w:rsidR="000C036F" w:rsidRPr="007745A7">
          <w:rPr>
            <w:rStyle w:val="Hyperlink"/>
          </w:rPr>
          <w:t>Attribution policies</w:t>
        </w:r>
      </w:hyperlink>
      <w:r w:rsidR="004C1C22" w:rsidRPr="007745A7">
        <w:t>.</w:t>
      </w:r>
    </w:p>
    <w:p w14:paraId="49A81773" w14:textId="54020238" w:rsidR="00D517EC" w:rsidRPr="007745A7" w:rsidRDefault="00E464A1" w:rsidP="00D517EC">
      <w:r w:rsidRPr="007745A7">
        <w:t>6</w:t>
      </w:r>
      <w:r w:rsidR="00D517EC" w:rsidRPr="007745A7">
        <w:t>. Comply with all applicable laws, regulations, and rules in using the COVID-19 Workbench and Workbench Data.</w:t>
      </w:r>
    </w:p>
    <w:p w14:paraId="50987B2E" w14:textId="6C1C0D89" w:rsidR="00D517EC" w:rsidRPr="007745A7" w:rsidRDefault="00E464A1" w:rsidP="00D517EC">
      <w:r w:rsidRPr="007745A7">
        <w:t>7</w:t>
      </w:r>
      <w:r w:rsidR="00D517EC" w:rsidRPr="007745A7">
        <w:t>. Comply with your organization’s applicable policies and processes, including but not limited to any policies or processes relating to security, confidentiality, data protection, and ethical reviews.</w:t>
      </w:r>
    </w:p>
    <w:p w14:paraId="04BA7CD7" w14:textId="0B402FE4" w:rsidR="00D517EC" w:rsidRPr="007745A7" w:rsidRDefault="00E464A1" w:rsidP="00D517EC">
      <w:r w:rsidRPr="007745A7">
        <w:t>8</w:t>
      </w:r>
      <w:r w:rsidR="00D517EC" w:rsidRPr="007745A7">
        <w:t>. Comply with all </w:t>
      </w:r>
      <w:hyperlink r:id="rId16" w:anchor="ourprinciples" w:history="1">
        <w:r w:rsidR="0084426E" w:rsidRPr="007745A7">
          <w:rPr>
            <w:rStyle w:val="Hyperlink"/>
          </w:rPr>
          <w:t>ICODA</w:t>
        </w:r>
        <w:r w:rsidR="00D517EC" w:rsidRPr="007745A7">
          <w:rPr>
            <w:rStyle w:val="Hyperlink"/>
          </w:rPr>
          <w:t xml:space="preserve"> principles</w:t>
        </w:r>
      </w:hyperlink>
      <w:r w:rsidR="006B3B2E" w:rsidRPr="007745A7">
        <w:t>.</w:t>
      </w:r>
    </w:p>
    <w:p w14:paraId="145BBE44" w14:textId="29410230" w:rsidR="00020A41" w:rsidRPr="007745A7" w:rsidRDefault="00E464A1" w:rsidP="00020A41">
      <w:r w:rsidRPr="007745A7">
        <w:t>9</w:t>
      </w:r>
      <w:r w:rsidR="00020A41" w:rsidRPr="007745A7">
        <w:t xml:space="preserve">. </w:t>
      </w:r>
      <w:r w:rsidR="00C24F1E" w:rsidRPr="007745A7">
        <w:t>Comply with t</w:t>
      </w:r>
      <w:r w:rsidR="00020A41" w:rsidRPr="007745A7">
        <w:t>he Aridhia DRE </w:t>
      </w:r>
      <w:hyperlink r:id="rId17" w:history="1">
        <w:r w:rsidR="00020A41" w:rsidRPr="007745A7">
          <w:rPr>
            <w:rStyle w:val="Hyperlink"/>
          </w:rPr>
          <w:t>privacy policy</w:t>
        </w:r>
      </w:hyperlink>
      <w:r w:rsidRPr="007745A7">
        <w:t xml:space="preserve"> provided that in case of conflict between these Terms of Use and the </w:t>
      </w:r>
      <w:proofErr w:type="spellStart"/>
      <w:r>
        <w:t>Arihdia</w:t>
      </w:r>
      <w:proofErr w:type="spellEnd"/>
      <w:r w:rsidRPr="007745A7">
        <w:t xml:space="preserve"> DRE privacy policy these Terms of Use take precedence.</w:t>
      </w:r>
    </w:p>
    <w:p w14:paraId="1E9EFEC9" w14:textId="35870F29" w:rsidR="00020A41" w:rsidRPr="007745A7" w:rsidRDefault="00E464A1" w:rsidP="00020A41">
      <w:r w:rsidRPr="007745A7">
        <w:t>10</w:t>
      </w:r>
      <w:r w:rsidR="00020A41" w:rsidRPr="007745A7">
        <w:t>. Not attempt to bypass or override the built-in C</w:t>
      </w:r>
      <w:r w:rsidR="00CB6B4A" w:rsidRPr="007745A7">
        <w:t>OVID</w:t>
      </w:r>
      <w:r w:rsidR="00020A41" w:rsidRPr="007745A7">
        <w:t>-19 Workbench security controls including, but not limited to:</w:t>
      </w:r>
    </w:p>
    <w:p w14:paraId="54A134D1" w14:textId="77777777" w:rsidR="00020A41" w:rsidRPr="007745A7" w:rsidRDefault="00020A41" w:rsidP="00020A41">
      <w:pPr>
        <w:numPr>
          <w:ilvl w:val="0"/>
          <w:numId w:val="1"/>
        </w:numPr>
      </w:pPr>
      <w:r w:rsidRPr="007745A7">
        <w:t>Inbound connectivity controls and restrictions</w:t>
      </w:r>
    </w:p>
    <w:p w14:paraId="477420EC" w14:textId="77777777" w:rsidR="00020A41" w:rsidRPr="007745A7" w:rsidRDefault="00020A41" w:rsidP="00020A41">
      <w:pPr>
        <w:numPr>
          <w:ilvl w:val="0"/>
          <w:numId w:val="1"/>
        </w:numPr>
      </w:pPr>
      <w:r w:rsidRPr="007745A7">
        <w:t>Outbound connectivity controls and restrictions</w:t>
      </w:r>
    </w:p>
    <w:p w14:paraId="4D1FE642" w14:textId="77777777" w:rsidR="00020A41" w:rsidRPr="007745A7" w:rsidRDefault="00020A41" w:rsidP="00020A41">
      <w:pPr>
        <w:numPr>
          <w:ilvl w:val="0"/>
          <w:numId w:val="1"/>
        </w:numPr>
      </w:pPr>
      <w:r w:rsidRPr="007745A7">
        <w:t>Workspace segregation and permissions</w:t>
      </w:r>
    </w:p>
    <w:p w14:paraId="5BD15ABA" w14:textId="77777777" w:rsidR="00020A41" w:rsidRPr="007745A7" w:rsidRDefault="00020A41" w:rsidP="00020A41">
      <w:pPr>
        <w:numPr>
          <w:ilvl w:val="0"/>
          <w:numId w:val="1"/>
        </w:numPr>
      </w:pPr>
      <w:r w:rsidRPr="007745A7">
        <w:t>Virus scanning</w:t>
      </w:r>
    </w:p>
    <w:p w14:paraId="099268DE" w14:textId="77777777" w:rsidR="00020A41" w:rsidRPr="007745A7" w:rsidRDefault="00020A41" w:rsidP="00020A41">
      <w:pPr>
        <w:numPr>
          <w:ilvl w:val="0"/>
          <w:numId w:val="1"/>
        </w:numPr>
      </w:pPr>
      <w:r w:rsidRPr="007745A7">
        <w:t>Supported data ingestion methods</w:t>
      </w:r>
    </w:p>
    <w:p w14:paraId="50CDB136" w14:textId="5594DBC2" w:rsidR="00020A41" w:rsidRPr="007745A7" w:rsidRDefault="00020A41" w:rsidP="00020A41">
      <w:pPr>
        <w:numPr>
          <w:ilvl w:val="0"/>
          <w:numId w:val="1"/>
        </w:numPr>
      </w:pPr>
      <w:r w:rsidRPr="007745A7">
        <w:t>Supported data extract mechanisms including Airlock approved exports and transfers between Workspaces.</w:t>
      </w:r>
    </w:p>
    <w:p w14:paraId="4ABF765F" w14:textId="77F0DD3E" w:rsidR="00C24F1E" w:rsidRPr="007745A7" w:rsidRDefault="00C24F1E" w:rsidP="00C24F1E">
      <w:r w:rsidRPr="007745A7">
        <w:t xml:space="preserve">(together the </w:t>
      </w:r>
      <w:r w:rsidRPr="007745A7">
        <w:rPr>
          <w:b/>
          <w:bCs/>
        </w:rPr>
        <w:t>Security Controls</w:t>
      </w:r>
      <w:r w:rsidRPr="007745A7">
        <w:t>).</w:t>
      </w:r>
    </w:p>
    <w:p w14:paraId="6E647A3F" w14:textId="195D5A49" w:rsidR="00C24F1E" w:rsidRPr="007745A7" w:rsidRDefault="00C24F1E" w:rsidP="00C24F1E">
      <w:r w:rsidRPr="007745A7">
        <w:t>1</w:t>
      </w:r>
      <w:r w:rsidR="00E464A1" w:rsidRPr="007745A7">
        <w:t>1</w:t>
      </w:r>
      <w:r w:rsidRPr="007745A7">
        <w:t xml:space="preserve">. Report any breach or suspected breach of the Security Controls or any other provision of these Terms of Use by any person immediately to </w:t>
      </w:r>
      <w:r w:rsidR="00F81E9E" w:rsidRPr="007745A7">
        <w:t>servicedesk@aridhia.com.</w:t>
      </w:r>
    </w:p>
    <w:p w14:paraId="7E145707" w14:textId="70572DB4" w:rsidR="00020A41" w:rsidRPr="007745A7" w:rsidRDefault="00020A41" w:rsidP="00020A41">
      <w:r w:rsidRPr="007745A7">
        <w:t>1</w:t>
      </w:r>
      <w:r w:rsidR="00E464A1" w:rsidRPr="007745A7">
        <w:t>2</w:t>
      </w:r>
      <w:r w:rsidRPr="007745A7">
        <w:t>. Keep your allocated username and password secure, not disclose them to anyone else, and not allow anyone else to use them.</w:t>
      </w:r>
    </w:p>
    <w:p w14:paraId="6D5BB5C1" w14:textId="09397AC4" w:rsidR="00020A41" w:rsidRPr="007745A7" w:rsidRDefault="00020A41" w:rsidP="00020A41">
      <w:r w:rsidRPr="007745A7">
        <w:t>1</w:t>
      </w:r>
      <w:r w:rsidR="00E464A1" w:rsidRPr="007745A7">
        <w:t>3</w:t>
      </w:r>
      <w:r w:rsidRPr="007745A7">
        <w:t>. Log out or lock your screen if you leave your workstation unattended for any length of time.</w:t>
      </w:r>
    </w:p>
    <w:p w14:paraId="7258A406" w14:textId="616EEC24" w:rsidR="00020A41" w:rsidRPr="007745A7" w:rsidRDefault="00020A41" w:rsidP="00020A41">
      <w:r w:rsidRPr="007745A7">
        <w:t>1</w:t>
      </w:r>
      <w:r w:rsidR="00E464A1" w:rsidRPr="007745A7">
        <w:t>4</w:t>
      </w:r>
      <w:r w:rsidRPr="007745A7">
        <w:t>. Ensure that your use of the C</w:t>
      </w:r>
      <w:r w:rsidR="00CB6B4A" w:rsidRPr="007745A7">
        <w:t>OVID</w:t>
      </w:r>
      <w:r w:rsidRPr="007745A7">
        <w:t xml:space="preserve">-19 Workbench does not breach the </w:t>
      </w:r>
      <w:r w:rsidR="00E464A1" w:rsidRPr="007745A7">
        <w:t xml:space="preserve">Aridhia DRE </w:t>
      </w:r>
      <w:hyperlink r:id="rId18" w:history="1">
        <w:r w:rsidRPr="007745A7">
          <w:rPr>
            <w:rStyle w:val="Hyperlink"/>
          </w:rPr>
          <w:t>fair usage policy</w:t>
        </w:r>
      </w:hyperlink>
      <w:r w:rsidR="00E464A1" w:rsidRPr="007745A7">
        <w:rPr>
          <w:rStyle w:val="Hyperlink"/>
        </w:rPr>
        <w:t xml:space="preserve"> (</w:t>
      </w:r>
      <w:r w:rsidR="00E464A1" w:rsidRPr="007745A7">
        <w:rPr>
          <w:rStyle w:val="Hyperlink"/>
          <w:b/>
          <w:bCs/>
        </w:rPr>
        <w:t>Fair Usage Policy</w:t>
      </w:r>
      <w:r w:rsidR="00E464A1" w:rsidRPr="007745A7">
        <w:rPr>
          <w:rStyle w:val="Hyperlink"/>
        </w:rPr>
        <w:t>)</w:t>
      </w:r>
      <w:r w:rsidR="00E464A1" w:rsidRPr="007745A7">
        <w:t xml:space="preserve">, provided that in case of conflict between these Terms of Use and the Fair Usage Policy these Terms of Use take precedence. </w:t>
      </w:r>
    </w:p>
    <w:p w14:paraId="0153F184" w14:textId="77777777" w:rsidR="00D517EC" w:rsidRPr="007745A7" w:rsidRDefault="00D517EC" w:rsidP="00D517EC">
      <w:r w:rsidRPr="007745A7">
        <w:t>Personal data</w:t>
      </w:r>
    </w:p>
    <w:p w14:paraId="0C650B48" w14:textId="0CFA13A7" w:rsidR="00D517EC" w:rsidRPr="007745A7" w:rsidRDefault="005E7C24" w:rsidP="00D517EC">
      <w:r w:rsidRPr="007745A7">
        <w:lastRenderedPageBreak/>
        <w:t>B</w:t>
      </w:r>
      <w:r w:rsidR="00D517EC" w:rsidRPr="007745A7">
        <w:t xml:space="preserve">efore you are provided access to Workbench </w:t>
      </w:r>
      <w:r w:rsidR="00D13B15" w:rsidRPr="007745A7">
        <w:t>Data,</w:t>
      </w:r>
      <w:r w:rsidR="00D517EC" w:rsidRPr="007745A7">
        <w:t xml:space="preserve"> you</w:t>
      </w:r>
      <w:r w:rsidR="004D5F7C" w:rsidRPr="007745A7">
        <w:t>r Institution</w:t>
      </w:r>
      <w:r w:rsidR="00D517EC" w:rsidRPr="007745A7">
        <w:t xml:space="preserve"> will be required to execute a data </w:t>
      </w:r>
      <w:r w:rsidR="00C4035E" w:rsidRPr="007745A7">
        <w:t xml:space="preserve">access </w:t>
      </w:r>
      <w:r w:rsidR="00D517EC" w:rsidRPr="007745A7">
        <w:t>agreement</w:t>
      </w:r>
      <w:r w:rsidR="00026189" w:rsidRPr="007745A7">
        <w:t xml:space="preserve">, copy </w:t>
      </w:r>
      <w:hyperlink r:id="rId19" w:history="1">
        <w:r w:rsidR="00026189" w:rsidRPr="00F96773">
          <w:rPr>
            <w:rStyle w:val="Hyperlink"/>
          </w:rPr>
          <w:t>here</w:t>
        </w:r>
      </w:hyperlink>
      <w:r w:rsidR="00F96773">
        <w:t xml:space="preserve">, </w:t>
      </w:r>
      <w:r w:rsidR="00D517EC" w:rsidRPr="007745A7">
        <w:t xml:space="preserve">regarding such access. Upon execution, such data </w:t>
      </w:r>
      <w:r w:rsidR="00C4035E" w:rsidRPr="007745A7">
        <w:t xml:space="preserve">access </w:t>
      </w:r>
      <w:r w:rsidR="00D517EC" w:rsidRPr="007745A7">
        <w:t>agreement will be incorporated here by this reference.</w:t>
      </w:r>
      <w:r w:rsidR="00D13B15">
        <w:t xml:space="preserve"> </w:t>
      </w:r>
      <w:r w:rsidR="00D517EC" w:rsidRPr="007745A7">
        <w:t xml:space="preserve">In the event of any conflict between these Terms of Use and that data </w:t>
      </w:r>
      <w:r w:rsidR="002A2D08" w:rsidRPr="007745A7">
        <w:t>access</w:t>
      </w:r>
      <w:r w:rsidR="00D517EC" w:rsidRPr="007745A7">
        <w:t xml:space="preserve"> agreement, the terms of the data </w:t>
      </w:r>
      <w:r w:rsidR="002A2D08" w:rsidRPr="007745A7">
        <w:t>access</w:t>
      </w:r>
      <w:r w:rsidR="00D517EC" w:rsidRPr="007745A7">
        <w:t xml:space="preserve"> agreement will prevail.</w:t>
      </w:r>
    </w:p>
    <w:p w14:paraId="1B6E70B9" w14:textId="77777777" w:rsidR="00D517EC" w:rsidRPr="007745A7" w:rsidRDefault="00D517EC" w:rsidP="00D517EC">
      <w:r w:rsidRPr="007745A7">
        <w:t>Data uploaded by you</w:t>
      </w:r>
    </w:p>
    <w:p w14:paraId="76E72496" w14:textId="4C730E26" w:rsidR="00D517EC" w:rsidRPr="007745A7" w:rsidRDefault="00D517EC" w:rsidP="00D517EC">
      <w:r w:rsidRPr="007745A7">
        <w:t xml:space="preserve">If you upload data to the COVID-19 Workbench for your own use, you represent and warrant that: (a) such data does not contain </w:t>
      </w:r>
      <w:r w:rsidR="00C617A1" w:rsidRPr="007745A7">
        <w:t>P</w:t>
      </w:r>
      <w:r w:rsidRPr="007745A7">
        <w:t xml:space="preserve">ersonal </w:t>
      </w:r>
      <w:r w:rsidR="00C617A1" w:rsidRPr="007745A7">
        <w:t>D</w:t>
      </w:r>
      <w:r w:rsidRPr="007745A7">
        <w:t>ata</w:t>
      </w:r>
      <w:r w:rsidR="005E7C24" w:rsidRPr="007745A7">
        <w:t xml:space="preserve"> and when aggregated with Workbench Data will not enable identification of any individual</w:t>
      </w:r>
      <w:r w:rsidR="003F6A30" w:rsidRPr="007745A7">
        <w:t>; (b)</w:t>
      </w:r>
      <w:r w:rsidRPr="007745A7">
        <w:t xml:space="preserve"> you have all rights, title, and interest in and to such data required to upload and use such data </w:t>
      </w:r>
      <w:r w:rsidR="003F6A30" w:rsidRPr="007745A7">
        <w:t>i</w:t>
      </w:r>
      <w:r w:rsidRPr="007745A7">
        <w:t>n the COVID-19 Workbench; (</w:t>
      </w:r>
      <w:r w:rsidR="003F6A30" w:rsidRPr="007745A7">
        <w:t>c</w:t>
      </w:r>
      <w:r w:rsidRPr="007745A7">
        <w:t>) such data does not and will not infringe, violate, or misappropriate any third-party rights</w:t>
      </w:r>
      <w:r w:rsidR="00A877DA" w:rsidRPr="007745A7">
        <w:t xml:space="preserve"> including but not limited to third party intellectual property rights and the rights of data subjects under applicable data protection laws</w:t>
      </w:r>
      <w:r w:rsidRPr="007745A7">
        <w:t>; and (</w:t>
      </w:r>
      <w:r w:rsidR="003F6A30" w:rsidRPr="007745A7">
        <w:t>d</w:t>
      </w:r>
      <w:r w:rsidRPr="007745A7">
        <w:t>) you have all full and proper consents, permissions, approvals, authorizations, and legal bases necessary to permit the disclosure, transfer (including cross-border transfer), storage, maintenance, and use of such data on the COVID-19 Workbench.</w:t>
      </w:r>
    </w:p>
    <w:p w14:paraId="247A4B6D" w14:textId="77777777" w:rsidR="00D517EC" w:rsidRPr="007745A7" w:rsidRDefault="00D517EC" w:rsidP="00D517EC">
      <w:r w:rsidRPr="007745A7">
        <w:t>Updates to these Terms of Use</w:t>
      </w:r>
    </w:p>
    <w:p w14:paraId="02AC6C58" w14:textId="68803AC0" w:rsidR="00D517EC" w:rsidRPr="007745A7" w:rsidRDefault="00D517EC" w:rsidP="00D517EC">
      <w:r w:rsidRPr="007745A7">
        <w:t>Aridhia reserves the right to change these Terms of Use at any time by posting changes online. Your continued use of the COVID-19 Workbench after changes are posted constitutes acceptance of these Terms of Use as modified by the posted changes.</w:t>
      </w:r>
      <w:r w:rsidR="00A877DA" w:rsidRPr="007745A7">
        <w:t xml:space="preserve"> If you do not accept the posted changes, you must immediately notify </w:t>
      </w:r>
      <w:r w:rsidR="00C20FB2" w:rsidRPr="007745A7">
        <w:t>servicedesk@aridhia.com</w:t>
      </w:r>
      <w:r w:rsidR="00A877DA" w:rsidRPr="007745A7">
        <w:t xml:space="preserve"> and immediately cease all use of the COVID-19 Workbench. </w:t>
      </w:r>
    </w:p>
    <w:p w14:paraId="2BC513FB" w14:textId="77777777" w:rsidR="00D517EC" w:rsidRPr="007745A7" w:rsidRDefault="00D517EC" w:rsidP="00D517EC">
      <w:r w:rsidRPr="007745A7">
        <w:t>Termination</w:t>
      </w:r>
    </w:p>
    <w:p w14:paraId="429C5DE0" w14:textId="44DED4EC" w:rsidR="00D517EC" w:rsidRPr="007745A7" w:rsidRDefault="00D517EC" w:rsidP="00D517EC">
      <w:r w:rsidRPr="007745A7">
        <w:t xml:space="preserve">Aridhia </w:t>
      </w:r>
      <w:r w:rsidR="002A2D08" w:rsidRPr="007745A7">
        <w:t xml:space="preserve">or HDR UK </w:t>
      </w:r>
      <w:r w:rsidRPr="007745A7">
        <w:t>may terminate your right to access the COVID-19 Workbench or any Workbench Data</w:t>
      </w:r>
      <w:r w:rsidR="00A877DA" w:rsidRPr="007745A7">
        <w:t xml:space="preserve"> immediately</w:t>
      </w:r>
      <w:r w:rsidR="00B830BA" w:rsidRPr="007745A7">
        <w:t xml:space="preserve"> without notice</w:t>
      </w:r>
      <w:r w:rsidRPr="007745A7">
        <w:t xml:space="preserve"> at any time for any reason, including in the event of a breach by you of any of these Terms of Use. Upon the termination of your access or upon </w:t>
      </w:r>
      <w:r w:rsidR="002A2D08" w:rsidRPr="007745A7">
        <w:t xml:space="preserve">HDR UK’s or </w:t>
      </w:r>
      <w:proofErr w:type="spellStart"/>
      <w:r w:rsidRPr="007745A7">
        <w:t>Aridhia’s</w:t>
      </w:r>
      <w:proofErr w:type="spellEnd"/>
      <w:r w:rsidRPr="007745A7">
        <w:t xml:space="preserve"> request, you will promptly return or destroy any Workbench Data</w:t>
      </w:r>
      <w:r w:rsidR="003F6A30" w:rsidRPr="007745A7">
        <w:t xml:space="preserve"> and any output, derivative data or analysis derived from Workbench Data</w:t>
      </w:r>
      <w:r w:rsidRPr="007745A7">
        <w:t xml:space="preserve"> in your possession.</w:t>
      </w:r>
    </w:p>
    <w:p w14:paraId="03CA351E" w14:textId="77777777" w:rsidR="00D517EC" w:rsidRPr="007745A7" w:rsidRDefault="00D517EC" w:rsidP="00D517EC">
      <w:r w:rsidRPr="007745A7">
        <w:t>Indemnification</w:t>
      </w:r>
    </w:p>
    <w:p w14:paraId="7F647219" w14:textId="32D80659" w:rsidR="00D517EC" w:rsidRPr="007745A7" w:rsidRDefault="00D517EC" w:rsidP="00D517EC">
      <w:r w:rsidRPr="007745A7">
        <w:t xml:space="preserve">You shall indemnify, defend and hold harmless Aridhia, </w:t>
      </w:r>
      <w:r w:rsidR="00A6738F" w:rsidRPr="007745A7">
        <w:t xml:space="preserve">HDR UK </w:t>
      </w:r>
      <w:r w:rsidRPr="007745A7">
        <w:t xml:space="preserve">, </w:t>
      </w:r>
      <w:r w:rsidR="0084426E" w:rsidRPr="007745A7">
        <w:t xml:space="preserve">ICODA </w:t>
      </w:r>
      <w:r w:rsidRPr="007745A7">
        <w:t xml:space="preserve">members, and Data Contributors, and </w:t>
      </w:r>
      <w:r w:rsidR="005E7C24" w:rsidRPr="007745A7">
        <w:t xml:space="preserve">each of </w:t>
      </w:r>
      <w:r w:rsidRPr="007745A7">
        <w:t xml:space="preserve">their respective officers, employees, agents, successors, heirs and assigns (the Indemnitees), against any liability, </w:t>
      </w:r>
      <w:r w:rsidR="00B830BA" w:rsidRPr="007745A7">
        <w:t xml:space="preserve">cost, </w:t>
      </w:r>
      <w:r w:rsidRPr="007745A7">
        <w:t>damage, loss or expense (including, without limitation, reasonable attorneys’ fees and expenses of litigation</w:t>
      </w:r>
      <w:r w:rsidR="00B830BA" w:rsidRPr="007745A7">
        <w:t xml:space="preserve"> and any direct, indirect or consequential losses, loss of reputation and all interest or</w:t>
      </w:r>
      <w:r w:rsidR="00766267" w:rsidRPr="007745A7">
        <w:t xml:space="preserve"> </w:t>
      </w:r>
      <w:r w:rsidR="00B830BA" w:rsidRPr="007745A7">
        <w:t>penalties</w:t>
      </w:r>
      <w:r w:rsidRPr="007745A7">
        <w:t>) incurred by or imposed upon the Indemnitees, or any one of them, in connection with any third party claims, suits, actions, demands or judgments to the extent arising out of (a) your use of the Workbench Data in breach of these Terms of Use or the activities conducted pursuant hereto, or (b) your negligence or willful misconduct</w:t>
      </w:r>
      <w:r w:rsidR="00766267" w:rsidRPr="007745A7">
        <w:t>, or (c) any claim for actual or alleged infringement of any third party’s intellectual property rights</w:t>
      </w:r>
      <w:r w:rsidRPr="007745A7">
        <w:t>. Your indemnification obligations will not apply to any liability, damage, loss, or expense to the extent that is attributable to the fraud, negligence, or willful misconduct of the Indemnitees.</w:t>
      </w:r>
    </w:p>
    <w:p w14:paraId="4B7A1DBF" w14:textId="77777777" w:rsidR="00D517EC" w:rsidRPr="007745A7" w:rsidRDefault="00D517EC" w:rsidP="00D517EC">
      <w:r w:rsidRPr="007745A7">
        <w:t>Representations; Disclaimer of Warranties</w:t>
      </w:r>
    </w:p>
    <w:p w14:paraId="26D3FB2F" w14:textId="24784C6A" w:rsidR="00D517EC" w:rsidRPr="007745A7" w:rsidRDefault="00D517EC" w:rsidP="00D517EC">
      <w:r w:rsidRPr="007745A7">
        <w:lastRenderedPageBreak/>
        <w:t xml:space="preserve">ARIDHIA, </w:t>
      </w:r>
      <w:r w:rsidR="00A6738F" w:rsidRPr="007745A7">
        <w:t xml:space="preserve">HDR </w:t>
      </w:r>
      <w:proofErr w:type="gramStart"/>
      <w:r w:rsidR="00A6738F" w:rsidRPr="007745A7">
        <w:t xml:space="preserve">UK </w:t>
      </w:r>
      <w:r w:rsidRPr="007745A7">
        <w:t>,</w:t>
      </w:r>
      <w:proofErr w:type="gramEnd"/>
      <w:r w:rsidRPr="007745A7">
        <w:t xml:space="preserve"> </w:t>
      </w:r>
      <w:r w:rsidR="0084426E" w:rsidRPr="007745A7">
        <w:t xml:space="preserve">ICODA </w:t>
      </w:r>
      <w:r w:rsidRPr="007745A7">
        <w:t>MEMBERS, AND DATA CONTRIBUTORS MAKE NO WARRANTY, EXPRESS OR IMPLIED, INCLUDING, WITHOUT LIMITATION, ANY IMPLIED WARRANTIES OF MERCHANTABILITY</w:t>
      </w:r>
      <w:r w:rsidR="00A877DA" w:rsidRPr="007745A7">
        <w:t>, USABILITY</w:t>
      </w:r>
      <w:r w:rsidR="003F6A30" w:rsidRPr="007745A7">
        <w:t>, ACCURACY</w:t>
      </w:r>
      <w:r w:rsidRPr="007745A7">
        <w:t xml:space="preserve"> OR FITNESS FOR A PARTICULAR PURPOSE WITH RESPECT TO </w:t>
      </w:r>
      <w:r w:rsidR="005E7C24" w:rsidRPr="007745A7">
        <w:t>THE</w:t>
      </w:r>
      <w:r w:rsidR="00766267" w:rsidRPr="007745A7">
        <w:t xml:space="preserve"> COVID-19 WORKBENCH, </w:t>
      </w:r>
      <w:r w:rsidRPr="007745A7">
        <w:t>ANY</w:t>
      </w:r>
      <w:r w:rsidR="00766267" w:rsidRPr="007745A7">
        <w:t xml:space="preserve"> DATA CONTAINED IN THE WORKBENCH, ANY</w:t>
      </w:r>
      <w:r w:rsidRPr="007745A7">
        <w:t xml:space="preserve"> </w:t>
      </w:r>
      <w:r w:rsidR="00766267" w:rsidRPr="007745A7">
        <w:t>INTELLECTUAL PROPERTY</w:t>
      </w:r>
      <w:r w:rsidR="003F6A30" w:rsidRPr="007745A7">
        <w:t>, ANY</w:t>
      </w:r>
      <w:r w:rsidR="00766267" w:rsidRPr="007745A7">
        <w:t xml:space="preserve"> </w:t>
      </w:r>
      <w:r w:rsidRPr="007745A7">
        <w:t>NON-PUBLIC OR OTHER INFORMATION, TANGIBLE RESEARCH PROPERTY, OR ANY OTHER PROPERTY</w:t>
      </w:r>
      <w:r w:rsidR="00766267" w:rsidRPr="007745A7">
        <w:t>, INFORMATION, DATA</w:t>
      </w:r>
      <w:r w:rsidRPr="007745A7">
        <w:t xml:space="preserve"> OR RIGHT LICENSED HEREUNDER AND HEREBY DISCLAIMS THE SAME.</w:t>
      </w:r>
    </w:p>
    <w:p w14:paraId="2D5808E6" w14:textId="77777777" w:rsidR="00D517EC" w:rsidRPr="007745A7" w:rsidRDefault="00D517EC" w:rsidP="00D517EC">
      <w:r w:rsidRPr="007745A7">
        <w:t>Publicity</w:t>
      </w:r>
    </w:p>
    <w:p w14:paraId="255A3CB1" w14:textId="36184E4F" w:rsidR="00D517EC" w:rsidRPr="007745A7" w:rsidRDefault="004C1C22" w:rsidP="00D517EC">
      <w:r w:rsidRPr="007745A7">
        <w:t xml:space="preserve">HDR UK </w:t>
      </w:r>
      <w:r w:rsidR="00D517EC" w:rsidRPr="007745A7">
        <w:t>may publicly disclose your name, project title and a list of datasets accessed by you.</w:t>
      </w:r>
    </w:p>
    <w:p w14:paraId="11D723AD" w14:textId="4621397E" w:rsidR="00D517EC" w:rsidRPr="007745A7" w:rsidRDefault="00D517EC" w:rsidP="00D517EC">
      <w:r w:rsidRPr="007745A7">
        <w:t xml:space="preserve">You may not use the names (except as otherwise provided in these Terms of Use), logos, or trademarks of Aridhia, the </w:t>
      </w:r>
      <w:r w:rsidRPr="00D517EC">
        <w:t>Foundation</w:t>
      </w:r>
      <w:r w:rsidR="004017C0">
        <w:t xml:space="preserve">, </w:t>
      </w:r>
      <w:r w:rsidR="00A6738F" w:rsidRPr="007745A7">
        <w:t xml:space="preserve">HDR </w:t>
      </w:r>
      <w:proofErr w:type="gramStart"/>
      <w:r w:rsidR="00A6738F" w:rsidRPr="007745A7">
        <w:t xml:space="preserve">UK </w:t>
      </w:r>
      <w:r w:rsidRPr="007745A7">
        <w:t>,</w:t>
      </w:r>
      <w:proofErr w:type="gramEnd"/>
      <w:r w:rsidRPr="007745A7">
        <w:t xml:space="preserve"> </w:t>
      </w:r>
      <w:r w:rsidR="0084426E" w:rsidRPr="007745A7">
        <w:t>ICODA</w:t>
      </w:r>
      <w:r w:rsidRPr="007745A7">
        <w:t xml:space="preserve">, </w:t>
      </w:r>
      <w:r w:rsidR="0084426E" w:rsidRPr="007745A7">
        <w:t>ICODA</w:t>
      </w:r>
      <w:r w:rsidRPr="007745A7">
        <w:t xml:space="preserve"> members, or the Data Contributors in any public disclosures without the prior written consent of such other parties unless otherwise required by law or government authority or regulatory body.</w:t>
      </w:r>
    </w:p>
    <w:p w14:paraId="40F3E075" w14:textId="083EC650" w:rsidR="005065F8" w:rsidRDefault="00D517EC" w:rsidP="00D517EC">
      <w:r w:rsidRPr="007745A7">
        <w:rPr>
          <w:noProof/>
        </w:rPr>
        <w:drawing>
          <wp:inline distT="0" distB="0" distL="0" distR="0" wp14:anchorId="76DBCEB0" wp14:editId="154EB9E8">
            <wp:extent cx="762000" cy="139700"/>
            <wp:effectExtent l="0" t="0" r="0" b="0"/>
            <wp:docPr id="2" name="Picture 2" descr="Creative Commons Licen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c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2000" cy="139700"/>
                    </a:xfrm>
                    <a:prstGeom prst="rect">
                      <a:avLst/>
                    </a:prstGeom>
                    <a:noFill/>
                    <a:ln>
                      <a:noFill/>
                    </a:ln>
                  </pic:spPr>
                </pic:pic>
              </a:graphicData>
            </a:graphic>
          </wp:inline>
        </w:drawing>
      </w:r>
      <w:r w:rsidRPr="007745A7">
        <w:br/>
        <w:t>Unless otherwise indicated, content on this site is licensed under a </w:t>
      </w:r>
      <w:hyperlink r:id="rId22" w:history="1">
        <w:r w:rsidRPr="007745A7">
          <w:rPr>
            <w:rStyle w:val="Hyperlink"/>
          </w:rPr>
          <w:t>Creative Commons Attribution-ShareAlike 4.0 International License</w:t>
        </w:r>
      </w:hyperlink>
      <w:r w:rsidRPr="007745A7">
        <w:t>.</w:t>
      </w:r>
    </w:p>
    <w:sectPr w:rsidR="005065F8">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F665" w14:textId="77777777" w:rsidR="00EC67BA" w:rsidRDefault="00EC67BA" w:rsidP="00020A41">
      <w:pPr>
        <w:spacing w:after="0" w:line="240" w:lineRule="auto"/>
      </w:pPr>
      <w:r>
        <w:separator/>
      </w:r>
    </w:p>
  </w:endnote>
  <w:endnote w:type="continuationSeparator" w:id="0">
    <w:p w14:paraId="22CA6473" w14:textId="77777777" w:rsidR="00EC67BA" w:rsidRDefault="00EC67BA" w:rsidP="00020A41">
      <w:pPr>
        <w:spacing w:after="0" w:line="240" w:lineRule="auto"/>
      </w:pPr>
      <w:r>
        <w:continuationSeparator/>
      </w:r>
    </w:p>
  </w:endnote>
  <w:endnote w:type="continuationNotice" w:id="1">
    <w:p w14:paraId="42C4BCE7" w14:textId="77777777" w:rsidR="00EC67BA" w:rsidRDefault="00EC6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FF5C3" w14:textId="77777777" w:rsidR="00220A16" w:rsidRDefault="0022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473C6" w14:textId="77777777" w:rsidR="00220A16" w:rsidRDefault="00220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C03CC" w14:textId="77777777" w:rsidR="00220A16" w:rsidRDefault="00220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711D" w14:textId="77777777" w:rsidR="00EC67BA" w:rsidRDefault="00EC67BA" w:rsidP="00020A41">
      <w:pPr>
        <w:spacing w:after="0" w:line="240" w:lineRule="auto"/>
      </w:pPr>
      <w:r>
        <w:separator/>
      </w:r>
    </w:p>
  </w:footnote>
  <w:footnote w:type="continuationSeparator" w:id="0">
    <w:p w14:paraId="3D8E6F8C" w14:textId="77777777" w:rsidR="00EC67BA" w:rsidRDefault="00EC67BA" w:rsidP="00020A41">
      <w:pPr>
        <w:spacing w:after="0" w:line="240" w:lineRule="auto"/>
      </w:pPr>
      <w:r>
        <w:continuationSeparator/>
      </w:r>
    </w:p>
  </w:footnote>
  <w:footnote w:type="continuationNotice" w:id="1">
    <w:p w14:paraId="46D4D0AD" w14:textId="77777777" w:rsidR="00EC67BA" w:rsidRDefault="00EC67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505" w14:textId="77777777" w:rsidR="00220A16" w:rsidRDefault="00220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3920978"/>
      <w:docPartObj>
        <w:docPartGallery w:val="Watermarks"/>
        <w:docPartUnique/>
      </w:docPartObj>
    </w:sdtPr>
    <w:sdtContent>
      <w:p w14:paraId="787DE6D6" w14:textId="096917DF" w:rsidR="00220A16" w:rsidRDefault="00220A16">
        <w:pPr>
          <w:pStyle w:val="Header"/>
        </w:pPr>
        <w:r>
          <w:rPr>
            <w:noProof/>
          </w:rPr>
          <w:pict w14:anchorId="7B579D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71A1" w14:textId="77777777" w:rsidR="00220A16" w:rsidRDefault="00220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9759D"/>
    <w:multiLevelType w:val="multilevel"/>
    <w:tmpl w:val="A0E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EC"/>
    <w:rsid w:val="00020A41"/>
    <w:rsid w:val="00021CEE"/>
    <w:rsid w:val="00026189"/>
    <w:rsid w:val="00030DD0"/>
    <w:rsid w:val="0006659D"/>
    <w:rsid w:val="000877A1"/>
    <w:rsid w:val="00093EBE"/>
    <w:rsid w:val="0009607D"/>
    <w:rsid w:val="000C036F"/>
    <w:rsid w:val="000C18C3"/>
    <w:rsid w:val="001136E3"/>
    <w:rsid w:val="00142E88"/>
    <w:rsid w:val="001653C3"/>
    <w:rsid w:val="00180A80"/>
    <w:rsid w:val="00180D8F"/>
    <w:rsid w:val="001C016A"/>
    <w:rsid w:val="001C32ED"/>
    <w:rsid w:val="0020240D"/>
    <w:rsid w:val="00220A16"/>
    <w:rsid w:val="002813D8"/>
    <w:rsid w:val="00287B19"/>
    <w:rsid w:val="002A2D08"/>
    <w:rsid w:val="002E4ABB"/>
    <w:rsid w:val="00334D93"/>
    <w:rsid w:val="003370C7"/>
    <w:rsid w:val="00340377"/>
    <w:rsid w:val="0038586D"/>
    <w:rsid w:val="003A7913"/>
    <w:rsid w:val="003C30F7"/>
    <w:rsid w:val="003F6A30"/>
    <w:rsid w:val="004011FA"/>
    <w:rsid w:val="004017C0"/>
    <w:rsid w:val="00403812"/>
    <w:rsid w:val="00430431"/>
    <w:rsid w:val="00462B40"/>
    <w:rsid w:val="00487E6A"/>
    <w:rsid w:val="00495FF3"/>
    <w:rsid w:val="004B61DE"/>
    <w:rsid w:val="004C1C22"/>
    <w:rsid w:val="004D5F7C"/>
    <w:rsid w:val="004F0A1B"/>
    <w:rsid w:val="005065F8"/>
    <w:rsid w:val="005133D6"/>
    <w:rsid w:val="00523690"/>
    <w:rsid w:val="00537F97"/>
    <w:rsid w:val="0059315F"/>
    <w:rsid w:val="005C7E61"/>
    <w:rsid w:val="005D387E"/>
    <w:rsid w:val="005E1075"/>
    <w:rsid w:val="005E2C1C"/>
    <w:rsid w:val="005E7C24"/>
    <w:rsid w:val="006218A7"/>
    <w:rsid w:val="00631EA5"/>
    <w:rsid w:val="00660CB1"/>
    <w:rsid w:val="006844E5"/>
    <w:rsid w:val="0069643A"/>
    <w:rsid w:val="006A1BE4"/>
    <w:rsid w:val="006B3B2E"/>
    <w:rsid w:val="00701F8F"/>
    <w:rsid w:val="007028F0"/>
    <w:rsid w:val="0071280B"/>
    <w:rsid w:val="00721BE6"/>
    <w:rsid w:val="00723DD2"/>
    <w:rsid w:val="00732B87"/>
    <w:rsid w:val="00766267"/>
    <w:rsid w:val="007745A7"/>
    <w:rsid w:val="007C452A"/>
    <w:rsid w:val="007C5465"/>
    <w:rsid w:val="00804160"/>
    <w:rsid w:val="008047C2"/>
    <w:rsid w:val="0082234C"/>
    <w:rsid w:val="0084426E"/>
    <w:rsid w:val="00862E2F"/>
    <w:rsid w:val="008B6F1E"/>
    <w:rsid w:val="008C3280"/>
    <w:rsid w:val="008D4A29"/>
    <w:rsid w:val="00936745"/>
    <w:rsid w:val="00950BE9"/>
    <w:rsid w:val="00971818"/>
    <w:rsid w:val="009A4C6B"/>
    <w:rsid w:val="009D6B93"/>
    <w:rsid w:val="00A26C64"/>
    <w:rsid w:val="00A62250"/>
    <w:rsid w:val="00A6738F"/>
    <w:rsid w:val="00A877DA"/>
    <w:rsid w:val="00B129E4"/>
    <w:rsid w:val="00B4523A"/>
    <w:rsid w:val="00B459F4"/>
    <w:rsid w:val="00B622D7"/>
    <w:rsid w:val="00B830BA"/>
    <w:rsid w:val="00B86274"/>
    <w:rsid w:val="00B92C01"/>
    <w:rsid w:val="00BB0D68"/>
    <w:rsid w:val="00C14ABA"/>
    <w:rsid w:val="00C20FB2"/>
    <w:rsid w:val="00C2111A"/>
    <w:rsid w:val="00C24F1E"/>
    <w:rsid w:val="00C4035E"/>
    <w:rsid w:val="00C617A1"/>
    <w:rsid w:val="00C678BE"/>
    <w:rsid w:val="00C9230E"/>
    <w:rsid w:val="00C9690C"/>
    <w:rsid w:val="00CB6B4A"/>
    <w:rsid w:val="00CC0F9A"/>
    <w:rsid w:val="00D10DE4"/>
    <w:rsid w:val="00D13B15"/>
    <w:rsid w:val="00D13F62"/>
    <w:rsid w:val="00D43184"/>
    <w:rsid w:val="00D517EC"/>
    <w:rsid w:val="00D62BE7"/>
    <w:rsid w:val="00DB57E4"/>
    <w:rsid w:val="00DC0437"/>
    <w:rsid w:val="00DC4132"/>
    <w:rsid w:val="00E13FDD"/>
    <w:rsid w:val="00E23771"/>
    <w:rsid w:val="00E464A1"/>
    <w:rsid w:val="00E53EB7"/>
    <w:rsid w:val="00E61573"/>
    <w:rsid w:val="00E83D4D"/>
    <w:rsid w:val="00E94D96"/>
    <w:rsid w:val="00E95B1B"/>
    <w:rsid w:val="00EB0AB0"/>
    <w:rsid w:val="00EC67BA"/>
    <w:rsid w:val="00F332BC"/>
    <w:rsid w:val="00F34C28"/>
    <w:rsid w:val="00F44B36"/>
    <w:rsid w:val="00F460EE"/>
    <w:rsid w:val="00F7103A"/>
    <w:rsid w:val="00F8107F"/>
    <w:rsid w:val="00F81E9E"/>
    <w:rsid w:val="00F96773"/>
    <w:rsid w:val="00FA35C0"/>
    <w:rsid w:val="00FB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AED9E"/>
  <w15:chartTrackingRefBased/>
  <w15:docId w15:val="{D1FB9823-FE1E-49F1-863D-B19E30D0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7EC"/>
    <w:rPr>
      <w:color w:val="0563C1" w:themeColor="hyperlink"/>
      <w:u w:val="single"/>
    </w:rPr>
  </w:style>
  <w:style w:type="character" w:styleId="UnresolvedMention">
    <w:name w:val="Unresolved Mention"/>
    <w:basedOn w:val="DefaultParagraphFont"/>
    <w:uiPriority w:val="99"/>
    <w:semiHidden/>
    <w:unhideWhenUsed/>
    <w:rsid w:val="00D517EC"/>
    <w:rPr>
      <w:color w:val="605E5C"/>
      <w:shd w:val="clear" w:color="auto" w:fill="E1DFDD"/>
    </w:rPr>
  </w:style>
  <w:style w:type="paragraph" w:styleId="BalloonText">
    <w:name w:val="Balloon Text"/>
    <w:basedOn w:val="Normal"/>
    <w:link w:val="BalloonTextChar"/>
    <w:uiPriority w:val="99"/>
    <w:semiHidden/>
    <w:unhideWhenUsed/>
    <w:rsid w:val="002E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BB"/>
    <w:rPr>
      <w:rFonts w:ascii="Segoe UI" w:hAnsi="Segoe UI" w:cs="Segoe UI"/>
      <w:sz w:val="18"/>
      <w:szCs w:val="18"/>
    </w:rPr>
  </w:style>
  <w:style w:type="character" w:styleId="CommentReference">
    <w:name w:val="annotation reference"/>
    <w:basedOn w:val="DefaultParagraphFont"/>
    <w:uiPriority w:val="99"/>
    <w:semiHidden/>
    <w:unhideWhenUsed/>
    <w:rsid w:val="001653C3"/>
    <w:rPr>
      <w:sz w:val="16"/>
      <w:szCs w:val="16"/>
    </w:rPr>
  </w:style>
  <w:style w:type="paragraph" w:styleId="CommentText">
    <w:name w:val="annotation text"/>
    <w:basedOn w:val="Normal"/>
    <w:link w:val="CommentTextChar"/>
    <w:uiPriority w:val="99"/>
    <w:unhideWhenUsed/>
    <w:rsid w:val="001653C3"/>
    <w:pPr>
      <w:spacing w:line="240" w:lineRule="auto"/>
    </w:pPr>
    <w:rPr>
      <w:sz w:val="20"/>
      <w:szCs w:val="20"/>
    </w:rPr>
  </w:style>
  <w:style w:type="character" w:customStyle="1" w:styleId="CommentTextChar">
    <w:name w:val="Comment Text Char"/>
    <w:basedOn w:val="DefaultParagraphFont"/>
    <w:link w:val="CommentText"/>
    <w:uiPriority w:val="99"/>
    <w:rsid w:val="001653C3"/>
    <w:rPr>
      <w:sz w:val="20"/>
      <w:szCs w:val="20"/>
    </w:rPr>
  </w:style>
  <w:style w:type="paragraph" w:styleId="CommentSubject">
    <w:name w:val="annotation subject"/>
    <w:basedOn w:val="CommentText"/>
    <w:next w:val="CommentText"/>
    <w:link w:val="CommentSubjectChar"/>
    <w:uiPriority w:val="99"/>
    <w:semiHidden/>
    <w:unhideWhenUsed/>
    <w:rsid w:val="001653C3"/>
    <w:rPr>
      <w:b/>
      <w:bCs/>
    </w:rPr>
  </w:style>
  <w:style w:type="character" w:customStyle="1" w:styleId="CommentSubjectChar">
    <w:name w:val="Comment Subject Char"/>
    <w:basedOn w:val="CommentTextChar"/>
    <w:link w:val="CommentSubject"/>
    <w:uiPriority w:val="99"/>
    <w:semiHidden/>
    <w:rsid w:val="001653C3"/>
    <w:rPr>
      <w:b/>
      <w:bCs/>
      <w:sz w:val="20"/>
      <w:szCs w:val="20"/>
    </w:rPr>
  </w:style>
  <w:style w:type="character" w:styleId="FollowedHyperlink">
    <w:name w:val="FollowedHyperlink"/>
    <w:basedOn w:val="DefaultParagraphFont"/>
    <w:uiPriority w:val="99"/>
    <w:semiHidden/>
    <w:unhideWhenUsed/>
    <w:rsid w:val="00495FF3"/>
    <w:rPr>
      <w:color w:val="954F72" w:themeColor="followedHyperlink"/>
      <w:u w:val="single"/>
    </w:rPr>
  </w:style>
  <w:style w:type="paragraph" w:styleId="Header">
    <w:name w:val="header"/>
    <w:basedOn w:val="Normal"/>
    <w:link w:val="HeaderChar"/>
    <w:uiPriority w:val="99"/>
    <w:unhideWhenUsed/>
    <w:rsid w:val="00020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A41"/>
  </w:style>
  <w:style w:type="paragraph" w:styleId="Footer">
    <w:name w:val="footer"/>
    <w:basedOn w:val="Normal"/>
    <w:link w:val="FooterChar"/>
    <w:uiPriority w:val="99"/>
    <w:unhideWhenUsed/>
    <w:rsid w:val="00020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A41"/>
  </w:style>
  <w:style w:type="paragraph" w:styleId="ListParagraph">
    <w:name w:val="List Paragraph"/>
    <w:basedOn w:val="Normal"/>
    <w:uiPriority w:val="34"/>
    <w:qFormat/>
    <w:rsid w:val="00F44B36"/>
    <w:pPr>
      <w:ind w:left="720"/>
      <w:contextualSpacing/>
    </w:pPr>
  </w:style>
  <w:style w:type="paragraph" w:styleId="Revision">
    <w:name w:val="Revision"/>
    <w:hidden/>
    <w:uiPriority w:val="99"/>
    <w:semiHidden/>
    <w:rsid w:val="000C18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15224">
      <w:bodyDiv w:val="1"/>
      <w:marLeft w:val="0"/>
      <w:marRight w:val="0"/>
      <w:marTop w:val="0"/>
      <w:marBottom w:val="0"/>
      <w:divBdr>
        <w:top w:val="none" w:sz="0" w:space="0" w:color="auto"/>
        <w:left w:val="none" w:sz="0" w:space="0" w:color="auto"/>
        <w:bottom w:val="none" w:sz="0" w:space="0" w:color="auto"/>
        <w:right w:val="none" w:sz="0" w:space="0" w:color="auto"/>
      </w:divBdr>
      <w:divsChild>
        <w:div w:id="531067748">
          <w:blockQuote w:val="1"/>
          <w:marLeft w:val="0"/>
          <w:marRight w:val="720"/>
          <w:marTop w:val="100"/>
          <w:marBottom w:val="100"/>
          <w:divBdr>
            <w:top w:val="none" w:sz="0" w:space="0" w:color="auto"/>
            <w:left w:val="none" w:sz="0" w:space="0" w:color="auto"/>
            <w:bottom w:val="none" w:sz="0" w:space="0" w:color="auto"/>
            <w:right w:val="none" w:sz="0" w:space="0" w:color="auto"/>
          </w:divBdr>
        </w:div>
        <w:div w:id="1710101907">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 w:id="1561747268">
      <w:bodyDiv w:val="1"/>
      <w:marLeft w:val="0"/>
      <w:marRight w:val="0"/>
      <w:marTop w:val="0"/>
      <w:marBottom w:val="0"/>
      <w:divBdr>
        <w:top w:val="none" w:sz="0" w:space="0" w:color="auto"/>
        <w:left w:val="none" w:sz="0" w:space="0" w:color="auto"/>
        <w:bottom w:val="none" w:sz="0" w:space="0" w:color="auto"/>
        <w:right w:val="none" w:sz="0" w:space="0" w:color="auto"/>
      </w:divBdr>
    </w:div>
    <w:div w:id="1952197637">
      <w:bodyDiv w:val="1"/>
      <w:marLeft w:val="0"/>
      <w:marRight w:val="0"/>
      <w:marTop w:val="0"/>
      <w:marBottom w:val="0"/>
      <w:divBdr>
        <w:top w:val="none" w:sz="0" w:space="0" w:color="auto"/>
        <w:left w:val="none" w:sz="0" w:space="0" w:color="auto"/>
        <w:bottom w:val="none" w:sz="0" w:space="0" w:color="auto"/>
        <w:right w:val="none" w:sz="0" w:space="0" w:color="auto"/>
      </w:divBdr>
    </w:div>
    <w:div w:id="2141337411">
      <w:bodyDiv w:val="1"/>
      <w:marLeft w:val="0"/>
      <w:marRight w:val="0"/>
      <w:marTop w:val="0"/>
      <w:marBottom w:val="0"/>
      <w:divBdr>
        <w:top w:val="none" w:sz="0" w:space="0" w:color="auto"/>
        <w:left w:val="none" w:sz="0" w:space="0" w:color="auto"/>
        <w:bottom w:val="none" w:sz="0" w:space="0" w:color="auto"/>
        <w:right w:val="none" w:sz="0" w:space="0" w:color="auto"/>
      </w:divBdr>
      <w:divsChild>
        <w:div w:id="2068214948">
          <w:blockQuote w:val="1"/>
          <w:marLeft w:val="0"/>
          <w:marRight w:val="720"/>
          <w:marTop w:val="100"/>
          <w:marBottom w:val="100"/>
          <w:divBdr>
            <w:top w:val="none" w:sz="0" w:space="0" w:color="auto"/>
            <w:left w:val="none" w:sz="0" w:space="0" w:color="auto"/>
            <w:bottom w:val="none" w:sz="0" w:space="0" w:color="auto"/>
            <w:right w:val="none" w:sz="0" w:space="0" w:color="auto"/>
          </w:divBdr>
        </w:div>
        <w:div w:id="16333668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da-research.org/wp-content/uploads/2021/10/ICODA-Output-Review-Process-2.0.pdf" TargetMode="External"/><Relationship Id="rId18" Type="http://schemas.openxmlformats.org/officeDocument/2006/relationships/hyperlink" Target="https://knowledgebase.aridhia.io/article/aridhia-dre-fair-usage-policy/"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international.alliance@hdruk.ac.uk" TargetMode="External"/><Relationship Id="rId17" Type="http://schemas.openxmlformats.org/officeDocument/2006/relationships/hyperlink" Target="https://knowledgebase.aridhia.io/article/privacy-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oda-research.org/about/about-us/" TargetMode="External"/><Relationship Id="rId20" Type="http://schemas.openxmlformats.org/officeDocument/2006/relationships/hyperlink" Target="http://creativecommons.org/licenses/by-sa/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da-research.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icoda-research.org/wp-content/uploads/2021/02/ICODA-attribution-policy-FINAL.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icoda-research.org/wp-content/uploads/2021/12/Data-Access-Agree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da-research.org/wp-content/uploads/2021/02/ICODA-publication-policy-FINAL-1.pdf" TargetMode="External"/><Relationship Id="rId22" Type="http://schemas.openxmlformats.org/officeDocument/2006/relationships/hyperlink" Target="http://creativecommons.org/licenses/by-sa/4.0/"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5283679F78974AA1920EFB6A7E473A" ma:contentTypeVersion="9" ma:contentTypeDescription="Create a new document." ma:contentTypeScope="" ma:versionID="f90566b84649dcd75ff32c7422b5333d">
  <xsd:schema xmlns:xsd="http://www.w3.org/2001/XMLSchema" xmlns:xs="http://www.w3.org/2001/XMLSchema" xmlns:p="http://schemas.microsoft.com/office/2006/metadata/properties" xmlns:ns2="47294987-300e-4878-ace4-7b7dc70179ba" targetNamespace="http://schemas.microsoft.com/office/2006/metadata/properties" ma:root="true" ma:fieldsID="d8ad047c1a9575c2f14bacd1688bca88" ns2:_="">
    <xsd:import namespace="47294987-300e-4878-ace4-7b7dc70179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94987-300e-4878-ace4-7b7dc7017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18CA-48ED-4920-8557-4ABA4C56EA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67ED36-10C5-42E4-9C18-B65B4DF48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94987-300e-4878-ace4-7b7dc7017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817F6B-F54D-4BD6-AF73-D6DC5C26A083}">
  <ds:schemaRefs>
    <ds:schemaRef ds:uri="http://schemas.microsoft.com/sharepoint/v3/contenttype/forms"/>
  </ds:schemaRefs>
</ds:datastoreItem>
</file>

<file path=customXml/itemProps4.xml><?xml version="1.0" encoding="utf-8"?>
<ds:datastoreItem xmlns:ds="http://schemas.openxmlformats.org/officeDocument/2006/customXml" ds:itemID="{3360769C-014D-458E-A690-F7B664D6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White (Point B)</dc:creator>
  <cp:keywords/>
  <dc:description/>
  <cp:lastModifiedBy>Edel McNamara</cp:lastModifiedBy>
  <cp:revision>3</cp:revision>
  <dcterms:created xsi:type="dcterms:W3CDTF">2021-12-13T14:33:00Z</dcterms:created>
  <dcterms:modified xsi:type="dcterms:W3CDTF">2021-12-13T14:49:00Z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0x0101008D5283679F78974AA1920EFB6A7E473A</vt:lpwstr>
  </property>
  <property fmtid="{D5CDD505-2E9C-101B-9397-08002B2CF9AE}" pid="3" name="MSIP_Label_68fed035-934e-40e0-920d-a49bb0677610_Enabled">
    <vt:lpwstr>true</vt:lpwstr>
  </property>
  <property fmtid="{D5CDD505-2E9C-101B-9397-08002B2CF9AE}" pid="4" name="MSIP_Label_68fed035-934e-40e0-920d-a49bb0677610_SetDate">
    <vt:lpwstr>2021-11-12T17:03:26Z</vt:lpwstr>
  </property>
  <property fmtid="{D5CDD505-2E9C-101B-9397-08002B2CF9AE}" pid="5" name="MSIP_Label_68fed035-934e-40e0-920d-a49bb0677610_Method">
    <vt:lpwstr>Standard</vt:lpwstr>
  </property>
  <property fmtid="{D5CDD505-2E9C-101B-9397-08002B2CF9AE}" pid="6" name="MSIP_Label_68fed035-934e-40e0-920d-a49bb0677610_Name">
    <vt:lpwstr>Internal</vt:lpwstr>
  </property>
  <property fmtid="{D5CDD505-2E9C-101B-9397-08002B2CF9AE}" pid="7" name="MSIP_Label_68fed035-934e-40e0-920d-a49bb0677610_SiteId">
    <vt:lpwstr>1bea21f2-daf2-4600-bcf2-894467ed9fb0</vt:lpwstr>
  </property>
  <property fmtid="{D5CDD505-2E9C-101B-9397-08002B2CF9AE}" pid="8" name="MSIP_Label_68fed035-934e-40e0-920d-a49bb0677610_ActionId">
    <vt:lpwstr>8279d5a6-66d8-412c-844f-0849aaa6da29</vt:lpwstr>
  </property>
  <property fmtid="{D5CDD505-2E9C-101B-9397-08002B2CF9AE}" pid="9" name="MSIP_Label_68fed035-934e-40e0-920d-a49bb0677610_ContentBits">
    <vt:lpwstr>2</vt:lpwstr>
  </property>
</Properties>
</file>